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D7" w:rsidRPr="00C831F2" w:rsidRDefault="00C831F2">
      <w:pPr>
        <w:pStyle w:val="a3"/>
        <w:spacing w:before="81" w:line="240" w:lineRule="auto"/>
        <w:ind w:left="2493"/>
        <w:jc w:val="left"/>
        <w:rPr>
          <w:lang w:val="uk-UA"/>
        </w:rPr>
      </w:pPr>
      <w:r w:rsidRPr="00C831F2">
        <w:rPr>
          <w:color w:val="178F39"/>
          <w:lang w:val="uk-UA"/>
        </w:rPr>
        <w:t>ВИБУХОНЕБЕЗПЕЧНІ ПРЕДМЕТИ!!!</w:t>
      </w:r>
    </w:p>
    <w:p w:rsidR="00453AD7" w:rsidRPr="00C831F2" w:rsidRDefault="00C831F2">
      <w:pPr>
        <w:pStyle w:val="a3"/>
        <w:spacing w:before="1"/>
        <w:jc w:val="left"/>
        <w:rPr>
          <w:lang w:val="uk-UA"/>
        </w:rPr>
      </w:pPr>
      <w:r w:rsidRPr="00C831F2">
        <w:rPr>
          <w:lang w:val="uk-UA"/>
        </w:rPr>
        <w:t>Знайти "небезпечну іграшку” можна практично скрізь: в лісі, в</w:t>
      </w:r>
    </w:p>
    <w:p w:rsidR="00453AD7" w:rsidRPr="00C831F2" w:rsidRDefault="00C831F2">
      <w:pPr>
        <w:pStyle w:val="a3"/>
        <w:spacing w:line="240" w:lineRule="auto"/>
        <w:ind w:right="136"/>
        <w:jc w:val="left"/>
        <w:rPr>
          <w:lang w:val="uk-UA"/>
        </w:rPr>
      </w:pPr>
      <w:r w:rsidRPr="00C831F2">
        <w:rPr>
          <w:lang w:val="uk-UA"/>
        </w:rPr>
        <w:t>старому окопі, на свіжозораному полі, на власному городі і навіть на вулицях міст.</w:t>
      </w:r>
    </w:p>
    <w:p w:rsidR="00453AD7" w:rsidRPr="00C831F2" w:rsidRDefault="00C831F2">
      <w:pPr>
        <w:spacing w:before="254"/>
        <w:ind w:left="102"/>
        <w:jc w:val="both"/>
        <w:rPr>
          <w:b/>
          <w:i/>
          <w:sz w:val="28"/>
          <w:lang w:val="uk-UA"/>
        </w:rPr>
      </w:pPr>
      <w:r w:rsidRPr="00C831F2">
        <w:rPr>
          <w:b/>
          <w:i/>
          <w:sz w:val="28"/>
          <w:lang w:val="uk-UA"/>
        </w:rPr>
        <w:t>У разі знаходження вибухонебезпечного пристрою ЗАБОРОНЕНО: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2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наближатися до предмету;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пересувати його або брати в</w:t>
      </w:r>
      <w:r w:rsidRPr="00C831F2">
        <w:rPr>
          <w:b/>
          <w:spacing w:val="-5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руки;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1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розряджати, кидати, ударяти по</w:t>
      </w:r>
      <w:r w:rsidRPr="00C831F2">
        <w:rPr>
          <w:b/>
          <w:spacing w:val="-4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ньому;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розпалювати поруч багаття або кидати в нього</w:t>
      </w:r>
      <w:r w:rsidRPr="00C831F2">
        <w:rPr>
          <w:b/>
          <w:spacing w:val="-8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предмет;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1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приносити предмет додому, у табір,</w:t>
      </w:r>
      <w:r w:rsidRPr="00C831F2">
        <w:rPr>
          <w:b/>
          <w:spacing w:val="-4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школу.</w:t>
      </w:r>
    </w:p>
    <w:p w:rsidR="00453AD7" w:rsidRPr="00C831F2" w:rsidRDefault="00C831F2">
      <w:pPr>
        <w:spacing w:line="324" w:lineRule="exact"/>
        <w:ind w:left="102"/>
        <w:jc w:val="both"/>
        <w:rPr>
          <w:b/>
          <w:i/>
          <w:sz w:val="28"/>
          <w:lang w:val="uk-UA"/>
        </w:rPr>
      </w:pPr>
      <w:r w:rsidRPr="00C831F2">
        <w:rPr>
          <w:b/>
          <w:i/>
          <w:color w:val="178F39"/>
          <w:sz w:val="28"/>
          <w:lang w:val="uk-UA"/>
        </w:rPr>
        <w:t>Пам'ятайте! Розмінуванням, знешкодженням або знищенням</w:t>
      </w:r>
    </w:p>
    <w:p w:rsidR="00453AD7" w:rsidRPr="00C831F2" w:rsidRDefault="00C831F2">
      <w:pPr>
        <w:ind w:left="102" w:right="217"/>
        <w:rPr>
          <w:b/>
          <w:i/>
          <w:sz w:val="28"/>
          <w:lang w:val="uk-UA"/>
        </w:rPr>
      </w:pPr>
      <w:r w:rsidRPr="00C831F2">
        <w:rPr>
          <w:b/>
          <w:i/>
          <w:color w:val="178F39"/>
          <w:sz w:val="28"/>
          <w:lang w:val="uk-UA"/>
        </w:rPr>
        <w:t>вибухонебезпечних предметів займаються тільки підготовлені фахівці – сапери, допущені до цього виду робіт.</w:t>
      </w:r>
    </w:p>
    <w:p w:rsidR="00453AD7" w:rsidRPr="00C831F2" w:rsidRDefault="00C831F2">
      <w:pPr>
        <w:pStyle w:val="a3"/>
        <w:spacing w:line="240" w:lineRule="auto"/>
        <w:ind w:right="826"/>
        <w:jc w:val="left"/>
        <w:rPr>
          <w:lang w:val="uk-UA"/>
        </w:rPr>
      </w:pPr>
      <w:r w:rsidRPr="00C831F2">
        <w:rPr>
          <w:lang w:val="uk-UA"/>
        </w:rPr>
        <w:t>Тому при виявленні вибухового пристрою або підозрілої речі необхідно: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line="240" w:lineRule="auto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зберігати</w:t>
      </w:r>
      <w:r w:rsidRPr="00C831F2">
        <w:rPr>
          <w:b/>
          <w:spacing w:val="-2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спокій;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1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негайно повідомити про знахідку представників</w:t>
      </w:r>
      <w:r w:rsidRPr="00C831F2">
        <w:rPr>
          <w:b/>
          <w:spacing w:val="-5"/>
          <w:sz w:val="28"/>
          <w:lang w:val="uk-UA"/>
        </w:rPr>
        <w:t xml:space="preserve"> </w:t>
      </w:r>
      <w:proofErr w:type="spellStart"/>
      <w:r w:rsidRPr="00C831F2">
        <w:rPr>
          <w:b/>
          <w:sz w:val="28"/>
          <w:lang w:val="uk-UA"/>
        </w:rPr>
        <w:t>пожежно</w:t>
      </w:r>
      <w:proofErr w:type="spellEnd"/>
      <w:r w:rsidRPr="00C831F2">
        <w:rPr>
          <w:b/>
          <w:sz w:val="28"/>
          <w:lang w:val="uk-UA"/>
        </w:rPr>
        <w:t>-</w:t>
      </w:r>
    </w:p>
    <w:p w:rsidR="00453AD7" w:rsidRPr="00C831F2" w:rsidRDefault="00C831F2">
      <w:pPr>
        <w:pStyle w:val="a3"/>
        <w:rPr>
          <w:lang w:val="uk-UA"/>
        </w:rPr>
      </w:pPr>
      <w:r w:rsidRPr="00C831F2">
        <w:rPr>
          <w:lang w:val="uk-UA"/>
        </w:rPr>
        <w:t>рятувальної служби та міліції за номерами телефонів 101 та 102;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2"/>
        <w:ind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не</w:t>
      </w:r>
      <w:r w:rsidRPr="00C831F2">
        <w:rPr>
          <w:b/>
          <w:spacing w:val="-1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курити;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line="240" w:lineRule="auto"/>
        <w:ind w:right="114" w:firstLine="0"/>
        <w:jc w:val="left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не користуватись запальничками, іншими джерелами відкритого вогню;</w:t>
      </w:r>
    </w:p>
    <w:p w:rsidR="00453AD7" w:rsidRPr="00C831F2" w:rsidRDefault="00C831F2">
      <w:pPr>
        <w:pStyle w:val="a4"/>
        <w:numPr>
          <w:ilvl w:val="0"/>
          <w:numId w:val="1"/>
        </w:numPr>
        <w:tabs>
          <w:tab w:val="left" w:pos="290"/>
        </w:tabs>
        <w:spacing w:line="240" w:lineRule="auto"/>
        <w:ind w:firstLine="0"/>
        <w:jc w:val="left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не торкатись підозрілої речі</w:t>
      </w:r>
      <w:r w:rsidRPr="00C831F2">
        <w:rPr>
          <w:b/>
          <w:spacing w:val="-4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руками;</w:t>
      </w:r>
    </w:p>
    <w:p w:rsidR="00453AD7" w:rsidRDefault="00C831F2">
      <w:pPr>
        <w:pStyle w:val="a4"/>
        <w:numPr>
          <w:ilvl w:val="0"/>
          <w:numId w:val="1"/>
        </w:numPr>
        <w:tabs>
          <w:tab w:val="left" w:pos="290"/>
        </w:tabs>
        <w:spacing w:before="1" w:line="240" w:lineRule="auto"/>
        <w:ind w:right="1532" w:firstLine="0"/>
        <w:rPr>
          <w:b/>
          <w:sz w:val="28"/>
          <w:lang w:val="uk-UA"/>
        </w:rPr>
      </w:pPr>
      <w:r w:rsidRPr="00C831F2">
        <w:rPr>
          <w:b/>
          <w:sz w:val="28"/>
          <w:lang w:val="uk-UA"/>
        </w:rPr>
        <w:t>залишити місце, де виявлено підозрілий предмет, при можливості організувати охорону на безпечній відстані. Голосіївське РУ ГУ ДСНС України у м.</w:t>
      </w:r>
      <w:r w:rsidRPr="00C831F2">
        <w:rPr>
          <w:b/>
          <w:spacing w:val="-9"/>
          <w:sz w:val="28"/>
          <w:lang w:val="uk-UA"/>
        </w:rPr>
        <w:t xml:space="preserve"> </w:t>
      </w:r>
      <w:r w:rsidRPr="00C831F2">
        <w:rPr>
          <w:b/>
          <w:sz w:val="28"/>
          <w:lang w:val="uk-UA"/>
        </w:rPr>
        <w:t>Києві</w:t>
      </w:r>
    </w:p>
    <w:p w:rsidR="004F7DA5" w:rsidRDefault="004F7DA5" w:rsidP="004F7DA5">
      <w:pPr>
        <w:tabs>
          <w:tab w:val="left" w:pos="290"/>
        </w:tabs>
        <w:spacing w:before="1"/>
        <w:ind w:right="1532"/>
        <w:rPr>
          <w:b/>
          <w:sz w:val="28"/>
          <w:lang w:val="uk-UA"/>
        </w:rPr>
      </w:pPr>
    </w:p>
    <w:p w:rsidR="004F7DA5" w:rsidRDefault="004F7DA5" w:rsidP="004F7DA5">
      <w:pPr>
        <w:tabs>
          <w:tab w:val="left" w:pos="290"/>
        </w:tabs>
        <w:spacing w:before="1"/>
        <w:ind w:right="1532"/>
        <w:rPr>
          <w:b/>
          <w:sz w:val="28"/>
          <w:lang w:val="uk-UA"/>
        </w:rPr>
      </w:pPr>
    </w:p>
    <w:p w:rsidR="004F7DA5" w:rsidRDefault="004F7DA5" w:rsidP="004F7DA5">
      <w:pPr>
        <w:tabs>
          <w:tab w:val="left" w:pos="290"/>
        </w:tabs>
        <w:spacing w:before="1"/>
        <w:ind w:right="1532"/>
        <w:rPr>
          <w:b/>
          <w:sz w:val="28"/>
          <w:lang w:val="uk-UA"/>
        </w:rPr>
      </w:pPr>
      <w:bookmarkStart w:id="0" w:name="_GoBack"/>
      <w:bookmarkEnd w:id="0"/>
    </w:p>
    <w:sectPr w:rsidR="004F7DA5" w:rsidSect="00453AD7">
      <w:type w:val="continuous"/>
      <w:pgSz w:w="11910" w:h="16840"/>
      <w:pgMar w:top="102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4F5"/>
    <w:multiLevelType w:val="hybridMultilevel"/>
    <w:tmpl w:val="7A963564"/>
    <w:lvl w:ilvl="0" w:tplc="A13C26B8">
      <w:numFmt w:val="bullet"/>
      <w:lvlText w:val="-"/>
      <w:lvlJc w:val="left"/>
      <w:pPr>
        <w:ind w:left="102" w:hanging="188"/>
      </w:pPr>
      <w:rPr>
        <w:rFonts w:ascii="Trebuchet MS" w:eastAsia="Trebuchet MS" w:hAnsi="Trebuchet MS" w:cs="Trebuchet MS" w:hint="default"/>
        <w:b/>
        <w:bCs/>
        <w:w w:val="100"/>
        <w:sz w:val="28"/>
        <w:szCs w:val="28"/>
        <w:lang w:val="ru-RU" w:eastAsia="ru-RU" w:bidi="ru-RU"/>
      </w:rPr>
    </w:lvl>
    <w:lvl w:ilvl="1" w:tplc="DFF67ECA">
      <w:numFmt w:val="bullet"/>
      <w:lvlText w:val="•"/>
      <w:lvlJc w:val="left"/>
      <w:pPr>
        <w:ind w:left="1028" w:hanging="188"/>
      </w:pPr>
      <w:rPr>
        <w:rFonts w:hint="default"/>
        <w:lang w:val="ru-RU" w:eastAsia="ru-RU" w:bidi="ru-RU"/>
      </w:rPr>
    </w:lvl>
    <w:lvl w:ilvl="2" w:tplc="AA1C70C2">
      <w:numFmt w:val="bullet"/>
      <w:lvlText w:val="•"/>
      <w:lvlJc w:val="left"/>
      <w:pPr>
        <w:ind w:left="1957" w:hanging="188"/>
      </w:pPr>
      <w:rPr>
        <w:rFonts w:hint="default"/>
        <w:lang w:val="ru-RU" w:eastAsia="ru-RU" w:bidi="ru-RU"/>
      </w:rPr>
    </w:lvl>
    <w:lvl w:ilvl="3" w:tplc="1EC8372E">
      <w:numFmt w:val="bullet"/>
      <w:lvlText w:val="•"/>
      <w:lvlJc w:val="left"/>
      <w:pPr>
        <w:ind w:left="2885" w:hanging="188"/>
      </w:pPr>
      <w:rPr>
        <w:rFonts w:hint="default"/>
        <w:lang w:val="ru-RU" w:eastAsia="ru-RU" w:bidi="ru-RU"/>
      </w:rPr>
    </w:lvl>
    <w:lvl w:ilvl="4" w:tplc="39FA8398">
      <w:numFmt w:val="bullet"/>
      <w:lvlText w:val="•"/>
      <w:lvlJc w:val="left"/>
      <w:pPr>
        <w:ind w:left="3814" w:hanging="188"/>
      </w:pPr>
      <w:rPr>
        <w:rFonts w:hint="default"/>
        <w:lang w:val="ru-RU" w:eastAsia="ru-RU" w:bidi="ru-RU"/>
      </w:rPr>
    </w:lvl>
    <w:lvl w:ilvl="5" w:tplc="CBC85D06">
      <w:numFmt w:val="bullet"/>
      <w:lvlText w:val="•"/>
      <w:lvlJc w:val="left"/>
      <w:pPr>
        <w:ind w:left="4743" w:hanging="188"/>
      </w:pPr>
      <w:rPr>
        <w:rFonts w:hint="default"/>
        <w:lang w:val="ru-RU" w:eastAsia="ru-RU" w:bidi="ru-RU"/>
      </w:rPr>
    </w:lvl>
    <w:lvl w:ilvl="6" w:tplc="0D1A1EB6">
      <w:numFmt w:val="bullet"/>
      <w:lvlText w:val="•"/>
      <w:lvlJc w:val="left"/>
      <w:pPr>
        <w:ind w:left="5671" w:hanging="188"/>
      </w:pPr>
      <w:rPr>
        <w:rFonts w:hint="default"/>
        <w:lang w:val="ru-RU" w:eastAsia="ru-RU" w:bidi="ru-RU"/>
      </w:rPr>
    </w:lvl>
    <w:lvl w:ilvl="7" w:tplc="8C204AC8">
      <w:numFmt w:val="bullet"/>
      <w:lvlText w:val="•"/>
      <w:lvlJc w:val="left"/>
      <w:pPr>
        <w:ind w:left="6600" w:hanging="188"/>
      </w:pPr>
      <w:rPr>
        <w:rFonts w:hint="default"/>
        <w:lang w:val="ru-RU" w:eastAsia="ru-RU" w:bidi="ru-RU"/>
      </w:rPr>
    </w:lvl>
    <w:lvl w:ilvl="8" w:tplc="4436347C">
      <w:numFmt w:val="bullet"/>
      <w:lvlText w:val="•"/>
      <w:lvlJc w:val="left"/>
      <w:pPr>
        <w:ind w:left="7529" w:hanging="1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3AD7"/>
    <w:rsid w:val="00453AD7"/>
    <w:rsid w:val="004F7DA5"/>
    <w:rsid w:val="00C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AD7"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AD7"/>
    <w:pPr>
      <w:spacing w:line="325" w:lineRule="exact"/>
      <w:ind w:left="102"/>
      <w:jc w:val="both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3AD7"/>
    <w:pPr>
      <w:spacing w:line="325" w:lineRule="exact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5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Грицай Ольга Анатоліївна</cp:lastModifiedBy>
  <cp:revision>3</cp:revision>
  <dcterms:created xsi:type="dcterms:W3CDTF">2019-11-01T12:33:00Z</dcterms:created>
  <dcterms:modified xsi:type="dcterms:W3CDTF">2019-11-04T11:11:00Z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